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  <w:u w:val="single"/>
        </w:rPr>
        <w:t>园艺专业综合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val="en-US"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jc w:val="left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第一部分：植物生理学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参考书目：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《植物生理学》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版），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王小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菁主编，高等教育出版社，201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绪论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Style w:val="9"/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1、了解植物生理学的定义和研究内容；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2、了解植物生理学的发展史和生产实践；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植物的水分生理 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1、了解植物细胞水势概念及其组成；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2、熟悉细胞的渗透性吸水的概念和条件；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3、熟悉植物根系对水分的吸收部位，途径，以及机理；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4、掌握蒸腾作用的概念和生理意义；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5、熟悉影响蒸腾速率的因素和降低蒸腾速率的途径；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6、掌握合理灌溉的生理基础。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植物的矿质营养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1、掌握高等植物必需元素的种类及其在植物体内的生理作用；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2、掌握植物缺乏必需矿质元素所出现的特有的症状；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3、理解细胞吸收溶质的方式；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4、理解营养离子跨膜运输的机理；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5、了解氮素在植物体内的同化过程；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6、了解合理施肥的生理基础。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植物的光合作用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1、了解叶绿体的结构和成分，光合色素的种类；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2、掌握光合作用的概念，生理意义和光合作用反应式；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3、掌握电子传递和质子传递，光合磷酸化、碳同化、光呼吸过程；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4、掌握C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、C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与CAM植物的光合特性；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5、了解影响光合速率的内外因素；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6、掌握提高光能利用率和作物产量的途径。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植物的呼吸作用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1、掌握呼吸作用的概念、生理意义以及发生场所；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2、熟悉糖酵解、三羧酸循环和戊糖磷酸途径；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3、掌握光合作用和呼吸作用的联系和差异；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4、理解如何做好种子果实的储藏保鲜。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植物同化物的运输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1、掌握植物体内有机物质的两种运输系统；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2、掌握韧皮部运输的机理；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3、掌握维管束、源、库的概念；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4、了解影响同化物运输的因素。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植物的次生代谢产物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1、了解植物体内主要的次生代谢途径及其与基础代谢的联系；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2、了解次生代谢产物的重要性。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第七章 植物生长物质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1、了解植物激素对植物生长发育的重要性；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2、掌握植物激素、植物生长调节剂的概念；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Style w:val="9"/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3、掌握极性运输、乙烯的“三重反应“等生理过程；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4、了解研究植物生长物质的方法；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5、了解植物激素在植物体内的分布与运输的基本特征；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 植物的生长生理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1、掌握生长、分化和发育的概念；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2、掌握外植体、细胞的全能性、脱分化和再分化的概念；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3、熟悉组织培养的基本过程；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4、掌握种子萌发的生理生化变化、影响营养器官生长的条件；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5、了解光敏色素，向性运动、感性运动和生物钟的概念；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第九章 植物的生殖生理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1、掌握春化作用的条件、春化作用的时间、部位和刺激传导；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2、掌握春化作用的生理、生化变化；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3、熟悉光周期刺激的感受和传导；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4、掌握春化和光周期理论在农业上的应用。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第十章 植物的成熟与衰老生理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1、掌握种子、果实成熟时的生理变化；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2、了解衰老过程中的生理变化；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3、掌握种子休眠的原因；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4、了解细胞程序性死亡的种类、机理。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第十一章 植物的抗性生理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1、了解植物逆境生理研究的重要性；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2、掌握植物抵御逆境的主要方式。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auto"/>
        <w:rPr>
          <w:rStyle w:val="9"/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第二部分：园艺通论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参考书目：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《园艺通论》（第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版），朱立新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、朱元娣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主编，中国农业大学出版社，20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第一章 绪论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1.了解世界园艺植物栽培的发展现状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2.了解我国园艺植物栽培的发展现状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3.了解我国园艺产业的发展趋势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园艺植物的植物学特征及生长发育规律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掌握园艺植物的器官的形态特点及生长发育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掌握园艺作物的生长发育规律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园艺植物与环境条件的关系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1.掌握园艺作物生长发育需要的各类环境条件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2.了解环境污染对园艺植物生长发育的影响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3.了解园艺植物与其他生物环境的关系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园艺植物的繁殖原理与技术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1.掌握实生繁殖的原理与技术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2.掌握无性繁殖如扦插、嫁接、压条等的原理与技术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园艺植物的土肥水管理原理与技术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1.掌握土壤管理原理与技术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2.掌握营养要求与施肥技术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3.掌握水分管理特别是节水灌溉原理与技术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园艺植物的生长发育调控原理与技术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1.掌握植株调整、整形修剪的作用与方法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2.解提高园艺产品品质的技术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3.解园艺产品的产期调控技术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3135"/>
        </w:tabs>
        <w:kinsoku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87983" o:spid="_x0000_s2049" o:spt="136" type="#_x0000_t136" style="position:absolute;left:0pt;height:203.65pt;width:468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00AA305E"/>
    <w:rsid w:val="006054DC"/>
    <w:rsid w:val="006937FA"/>
    <w:rsid w:val="00787349"/>
    <w:rsid w:val="00820697"/>
    <w:rsid w:val="009576DA"/>
    <w:rsid w:val="00AA305E"/>
    <w:rsid w:val="00CE04EC"/>
    <w:rsid w:val="00D10DFF"/>
    <w:rsid w:val="00FE1EEF"/>
    <w:rsid w:val="018150A4"/>
    <w:rsid w:val="04F544A4"/>
    <w:rsid w:val="05917112"/>
    <w:rsid w:val="05B47F69"/>
    <w:rsid w:val="05F55F39"/>
    <w:rsid w:val="06410424"/>
    <w:rsid w:val="0D466B4A"/>
    <w:rsid w:val="12976F05"/>
    <w:rsid w:val="1F132C2D"/>
    <w:rsid w:val="1F1F3699"/>
    <w:rsid w:val="25E62B93"/>
    <w:rsid w:val="419168FF"/>
    <w:rsid w:val="43A062AD"/>
    <w:rsid w:val="53DD1028"/>
    <w:rsid w:val="5F02510F"/>
    <w:rsid w:val="6F8D5C10"/>
    <w:rsid w:val="7D3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sv-SE"/>
    </w:rPr>
  </w:style>
  <w:style w:type="character" w:styleId="7">
    <w:name w:val="Hyperlink"/>
    <w:basedOn w:val="6"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8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1577</Words>
  <Characters>1609</Characters>
  <Lines>12</Lines>
  <Paragraphs>3</Paragraphs>
  <TotalTime>0</TotalTime>
  <ScaleCrop>false</ScaleCrop>
  <LinksUpToDate>false</LinksUpToDate>
  <CharactersWithSpaces>1634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2021-01-20T07:04:00Z</dcterms:created>
  <dc:creator>吴 智明</dc:creator>
  <cp:lastModifiedBy>Aa赖炫辰</cp:lastModifiedBy>
  <dcterms:modified xsi:type="dcterms:W3CDTF">2024-02-17T09:31:13Z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F0BF5473EFE54374B659927DD7964C29_13</vt:lpwstr>
  </property>
</Properties>
</file>